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SV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SV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Manuskriptet</w:t>
      </w:r>
      <w:r>
        <w:rPr>
          <w:spacing w:val="-8"/>
        </w:rPr>
        <w:t> </w:t>
      </w:r>
      <w:r>
        <w:rPr/>
        <w:t>färdigställt</w:t>
      </w:r>
      <w:r>
        <w:rPr>
          <w:spacing w:val="-8"/>
        </w:rPr>
        <w:t> </w:t>
      </w:r>
      <w:r>
        <w:rPr/>
        <w:t>i</w:t>
      </w:r>
      <w:r>
        <w:rPr>
          <w:spacing w:val="-8"/>
        </w:rPr>
        <w:t> </w:t>
      </w:r>
      <w:r>
        <w:rPr/>
        <w:t>[månad]</w:t>
      </w:r>
      <w:r>
        <w:rPr>
          <w:spacing w:val="-8"/>
        </w:rPr>
        <w:t> </w:t>
      </w:r>
      <w:r>
        <w:rPr>
          <w:spacing w:val="-2"/>
        </w:rPr>
        <w:t>[år].</w:t>
      </w:r>
    </w:p>
    <w:p>
      <w:pPr>
        <w:pStyle w:val="BodyText"/>
        <w:spacing w:line="540" w:lineRule="atLeast"/>
        <w:ind w:right="4578"/>
      </w:pPr>
      <w:r>
        <w:rPr/>
        <w:t>Reviderad</w:t>
      </w:r>
      <w:r>
        <w:rPr>
          <w:spacing w:val="-6"/>
        </w:rPr>
        <w:t> </w:t>
      </w:r>
      <w:r>
        <w:rPr/>
        <w:t>utgåva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Rättad</w:t>
      </w:r>
      <w:r>
        <w:rPr>
          <w:spacing w:val="-6"/>
        </w:rPr>
        <w:t> </w:t>
      </w:r>
      <w:r>
        <w:rPr/>
        <w:t>utgåva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Första/Andra/</w:t>
      </w:r>
      <w:r>
        <w:rPr>
          <w:i/>
        </w:rPr>
        <w:t>n</w:t>
      </w:r>
      <w:r>
        <w:rPr/>
        <w:t>:e</w:t>
      </w:r>
      <w:r>
        <w:rPr>
          <w:spacing w:val="-6"/>
        </w:rPr>
        <w:t> </w:t>
      </w:r>
      <w:r>
        <w:rPr/>
        <w:t>utgåvan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2010"/>
      </w:pPr>
      <w:r>
        <w:rPr/>
        <w:t>Detta</w:t>
      </w:r>
      <w:r>
        <w:rPr>
          <w:spacing w:val="-5"/>
        </w:rPr>
        <w:t> </w:t>
      </w:r>
      <w:r>
        <w:rPr/>
        <w:t>dokument</w:t>
      </w:r>
      <w:r>
        <w:rPr>
          <w:spacing w:val="-5"/>
        </w:rPr>
        <w:t> </w:t>
      </w:r>
      <w:r>
        <w:rPr/>
        <w:t>utgör</w:t>
      </w:r>
      <w:r>
        <w:rPr>
          <w:spacing w:val="-5"/>
        </w:rPr>
        <w:t> </w:t>
      </w:r>
      <w:r>
        <w:rPr/>
        <w:t>inte</w:t>
      </w:r>
      <w:r>
        <w:rPr>
          <w:spacing w:val="-5"/>
        </w:rPr>
        <w:t> </w:t>
      </w:r>
      <w:r>
        <w:rPr/>
        <w:t>ett</w:t>
      </w:r>
      <w:r>
        <w:rPr>
          <w:spacing w:val="-5"/>
        </w:rPr>
        <w:t> </w:t>
      </w:r>
      <w:r>
        <w:rPr/>
        <w:t>officiellt</w:t>
      </w:r>
      <w:r>
        <w:rPr>
          <w:spacing w:val="-5"/>
        </w:rPr>
        <w:t> </w:t>
      </w:r>
      <w:r>
        <w:rPr/>
        <w:t>ställningstagande</w:t>
      </w:r>
      <w:r>
        <w:rPr>
          <w:spacing w:val="-5"/>
        </w:rPr>
        <w:t> </w:t>
      </w:r>
      <w:r>
        <w:rPr/>
        <w:t>från</w:t>
      </w:r>
      <w:r>
        <w:rPr>
          <w:spacing w:val="-5"/>
        </w:rPr>
        <w:t> </w:t>
      </w:r>
      <w:r>
        <w:rPr/>
        <w:t>Europeiska</w:t>
      </w:r>
      <w:r>
        <w:rPr>
          <w:spacing w:val="-5"/>
        </w:rPr>
        <w:t> </w:t>
      </w:r>
      <w:r>
        <w:rPr/>
        <w:t>kommissionens</w:t>
      </w:r>
      <w:r>
        <w:rPr>
          <w:spacing w:val="-5"/>
        </w:rPr>
        <w:t> </w:t>
      </w:r>
      <w:r>
        <w:rPr/>
        <w:t>sida. Luxemburg: Europeiska unionens publikationsbyrå, [år]</w:t>
      </w:r>
    </w:p>
    <w:p>
      <w:pPr>
        <w:pStyle w:val="BodyText"/>
        <w:spacing w:line="348" w:lineRule="auto"/>
        <w:ind w:right="4231"/>
      </w:pPr>
      <w:r>
        <w:rPr/>
        <w:t>©</w:t>
      </w:r>
      <w:r>
        <w:rPr>
          <w:spacing w:val="-7"/>
        </w:rPr>
        <w:t> </w:t>
      </w:r>
      <w:r>
        <w:rPr/>
        <w:t>[Europeiska</w:t>
      </w:r>
      <w:r>
        <w:rPr>
          <w:spacing w:val="-7"/>
        </w:rPr>
        <w:t> </w:t>
      </w:r>
      <w:r>
        <w:rPr/>
        <w:t>unionen</w:t>
      </w:r>
      <w:r>
        <w:rPr>
          <w:spacing w:val="-7"/>
        </w:rPr>
        <w:t> </w:t>
      </w:r>
      <w:r>
        <w:rPr/>
        <w:t>/</w:t>
      </w:r>
      <w:r>
        <w:rPr>
          <w:spacing w:val="-7"/>
        </w:rPr>
        <w:t> </w:t>
      </w:r>
      <w:r>
        <w:rPr/>
        <w:t>Europeiska</w:t>
      </w:r>
      <w:r>
        <w:rPr>
          <w:spacing w:val="-7"/>
        </w:rPr>
        <w:t> </w:t>
      </w:r>
      <w:r>
        <w:rPr/>
        <w:t>atomenergigemenskapen],</w:t>
      </w:r>
      <w:r>
        <w:rPr>
          <w:spacing w:val="-7"/>
        </w:rPr>
        <w:t> </w:t>
      </w:r>
      <w:r>
        <w:rPr/>
        <w:t>[år]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  <w:ind w:right="403"/>
      </w:pPr>
      <w:r>
        <w:rPr/>
        <w:t>©</w:t>
      </w:r>
      <w:r>
        <w:rPr>
          <w:spacing w:val="-4"/>
        </w:rPr>
        <w:t> </w:t>
      </w:r>
      <w:r>
        <w:rPr/>
        <w:t>[Europeiska</w:t>
      </w:r>
      <w:r>
        <w:rPr>
          <w:spacing w:val="-4"/>
        </w:rPr>
        <w:t> </w:t>
      </w:r>
      <w:r>
        <w:rPr/>
        <w:t>unionen</w:t>
      </w:r>
      <w:r>
        <w:rPr>
          <w:spacing w:val="-4"/>
        </w:rPr>
        <w:t> </w:t>
      </w:r>
      <w:r>
        <w:rPr/>
        <w:t>/</w:t>
      </w:r>
      <w:r>
        <w:rPr>
          <w:spacing w:val="-4"/>
        </w:rPr>
        <w:t> </w:t>
      </w:r>
      <w:r>
        <w:rPr/>
        <w:t>Europeiska</w:t>
      </w:r>
      <w:r>
        <w:rPr>
          <w:spacing w:val="-4"/>
        </w:rPr>
        <w:t> </w:t>
      </w:r>
      <w:r>
        <w:rPr/>
        <w:t>atomenergigemenskapen],</w:t>
      </w:r>
      <w:r>
        <w:rPr>
          <w:spacing w:val="-4"/>
        </w:rPr>
        <w:t> </w:t>
      </w:r>
      <w:r>
        <w:rPr/>
        <w:t>[år].</w:t>
      </w:r>
      <w:r>
        <w:rPr>
          <w:spacing w:val="-4"/>
        </w:rPr>
        <w:t> </w:t>
      </w:r>
      <w:r>
        <w:rPr/>
        <w:t>Delar</w:t>
      </w:r>
      <w:r>
        <w:rPr>
          <w:spacing w:val="-4"/>
        </w:rPr>
        <w:t> </w:t>
      </w:r>
      <w:r>
        <w:rPr/>
        <w:t>av</w:t>
      </w:r>
      <w:r>
        <w:rPr>
          <w:spacing w:val="-4"/>
        </w:rPr>
        <w:t> </w:t>
      </w:r>
      <w:r>
        <w:rPr/>
        <w:t>innehållet</w:t>
      </w:r>
      <w:r>
        <w:rPr>
          <w:spacing w:val="-4"/>
        </w:rPr>
        <w:t> </w:t>
      </w:r>
      <w:r>
        <w:rPr/>
        <w:t>har</w:t>
      </w:r>
      <w:r>
        <w:rPr>
          <w:spacing w:val="-4"/>
        </w:rPr>
        <w:t> </w:t>
      </w:r>
      <w:r>
        <w:rPr/>
        <w:t>skapats</w:t>
      </w:r>
      <w:r>
        <w:rPr>
          <w:spacing w:val="-4"/>
        </w:rPr>
        <w:t> </w:t>
      </w:r>
      <w:r>
        <w:rPr/>
        <w:t>med</w:t>
      </w:r>
      <w:r>
        <w:rPr>
          <w:spacing w:val="-4"/>
        </w:rPr>
        <w:t> </w:t>
      </w:r>
      <w:r>
        <w:rPr/>
        <w:t>hjälp</w:t>
      </w:r>
      <w:r>
        <w:rPr>
          <w:spacing w:val="-4"/>
        </w:rPr>
        <w:t> </w:t>
      </w:r>
      <w:r>
        <w:rPr/>
        <w:t>av [AI-verktygets namn].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51"/>
      </w:pPr>
      <w:r>
        <w:rPr/>
        <w:t>Kommissionens</w:t>
      </w:r>
      <w:r>
        <w:rPr>
          <w:spacing w:val="-10"/>
        </w:rPr>
        <w:t> </w:t>
      </w:r>
      <w:r>
        <w:rPr/>
        <w:t>regler</w:t>
      </w:r>
      <w:r>
        <w:rPr>
          <w:spacing w:val="-8"/>
        </w:rPr>
        <w:t> </w:t>
      </w:r>
      <w:r>
        <w:rPr/>
        <w:t>för</w:t>
      </w:r>
      <w:r>
        <w:rPr>
          <w:spacing w:val="-8"/>
        </w:rPr>
        <w:t> </w:t>
      </w:r>
      <w:r>
        <w:rPr/>
        <w:t>vidareutnyttjande</w:t>
      </w:r>
      <w:r>
        <w:rPr>
          <w:spacing w:val="-8"/>
        </w:rPr>
        <w:t> </w:t>
      </w:r>
      <w:r>
        <w:rPr/>
        <w:t>förklaras</w:t>
      </w:r>
      <w:r>
        <w:rPr>
          <w:spacing w:val="-7"/>
        </w:rPr>
        <w:t> </w:t>
      </w:r>
      <w:r>
        <w:rPr/>
        <w:t>i</w:t>
      </w:r>
      <w:r>
        <w:rPr>
          <w:spacing w:val="-8"/>
        </w:rPr>
        <w:t> </w:t>
      </w:r>
      <w:r>
        <w:rPr/>
        <w:t>kommissionens</w:t>
      </w:r>
      <w:r>
        <w:rPr>
          <w:spacing w:val="-8"/>
        </w:rPr>
        <w:t> </w:t>
      </w:r>
      <w:r>
        <w:rPr/>
        <w:t>beslut</w:t>
      </w:r>
      <w:r>
        <w:rPr>
          <w:spacing w:val="-8"/>
        </w:rPr>
        <w:t> </w:t>
      </w:r>
      <w:r>
        <w:rPr/>
        <w:t>2011/833/EU</w:t>
      </w:r>
      <w:r>
        <w:rPr>
          <w:spacing w:val="-8"/>
        </w:rPr>
        <w:t> </w:t>
      </w:r>
      <w:r>
        <w:rPr/>
        <w:t>av</w:t>
      </w:r>
      <w:r>
        <w:rPr>
          <w:spacing w:val="-7"/>
        </w:rPr>
        <w:t> </w:t>
      </w:r>
      <w:r>
        <w:rPr>
          <w:spacing w:val="-5"/>
        </w:rPr>
        <w:t>den</w:t>
      </w:r>
    </w:p>
    <w:p>
      <w:pPr>
        <w:pStyle w:val="BodyText"/>
        <w:spacing w:line="244" w:lineRule="auto" w:before="4"/>
      </w:pPr>
      <w:r>
        <w:rPr/>
        <w:t>12</w:t>
      </w:r>
      <w:r>
        <w:rPr>
          <w:spacing w:val="-5"/>
        </w:rPr>
        <w:t> </w:t>
      </w:r>
      <w:r>
        <w:rPr/>
        <w:t>december</w:t>
      </w:r>
      <w:r>
        <w:rPr>
          <w:spacing w:val="-5"/>
        </w:rPr>
        <w:t> </w:t>
      </w:r>
      <w:r>
        <w:rPr/>
        <w:t>2011</w:t>
      </w:r>
      <w:r>
        <w:rPr>
          <w:spacing w:val="-5"/>
        </w:rPr>
        <w:t> </w:t>
      </w:r>
      <w:r>
        <w:rPr/>
        <w:t>om</w:t>
      </w:r>
      <w:r>
        <w:rPr>
          <w:spacing w:val="-5"/>
        </w:rPr>
        <w:t> </w:t>
      </w:r>
      <w:r>
        <w:rPr/>
        <w:t>vidareutnyttjande</w:t>
      </w:r>
      <w:r>
        <w:rPr>
          <w:spacing w:val="-5"/>
        </w:rPr>
        <w:t> </w:t>
      </w:r>
      <w:r>
        <w:rPr/>
        <w:t>av</w:t>
      </w:r>
      <w:r>
        <w:rPr>
          <w:spacing w:val="-5"/>
        </w:rPr>
        <w:t> </w:t>
      </w:r>
      <w:r>
        <w:rPr/>
        <w:t>kommissionens</w:t>
      </w:r>
      <w:r>
        <w:rPr>
          <w:spacing w:val="-5"/>
        </w:rPr>
        <w:t> </w:t>
      </w:r>
      <w:r>
        <w:rPr/>
        <w:t>handlingar</w:t>
      </w:r>
      <w:r>
        <w:rPr>
          <w:spacing w:val="-5"/>
        </w:rPr>
        <w:t> </w:t>
      </w:r>
      <w:r>
        <w:rPr/>
        <w:t>(EUT</w:t>
      </w:r>
      <w:r>
        <w:rPr>
          <w:spacing w:val="40"/>
        </w:rPr>
        <w:t> </w:t>
      </w:r>
      <w:r>
        <w:rPr/>
        <w:t>L</w:t>
      </w:r>
      <w:r>
        <w:rPr>
          <w:spacing w:val="-5"/>
        </w:rPr>
        <w:t> </w:t>
      </w:r>
      <w:r>
        <w:rPr/>
        <w:t>330,</w:t>
      </w:r>
      <w:r>
        <w:rPr>
          <w:spacing w:val="-5"/>
        </w:rPr>
        <w:t> </w:t>
      </w:r>
      <w:r>
        <w:rPr/>
        <w:t>14.12.2011,</w:t>
      </w:r>
      <w:r>
        <w:rPr>
          <w:spacing w:val="-5"/>
        </w:rPr>
        <w:t> </w:t>
      </w:r>
      <w:r>
        <w:rPr/>
        <w:t>s.</w:t>
      </w:r>
      <w:r>
        <w:rPr>
          <w:spacing w:val="-5"/>
        </w:rPr>
        <w:t> </w:t>
      </w:r>
      <w:r>
        <w:rPr/>
        <w:t>39,</w:t>
      </w:r>
      <w:r>
        <w:rPr>
          <w:spacing w:val="-5"/>
        </w:rPr>
        <w:t> </w:t>
      </w:r>
      <w:r>
        <w:rPr/>
        <w:t>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99"/>
        <w:ind w:right="135"/>
      </w:pPr>
      <w:r>
        <w:rPr/>
        <w:t>Om</w:t>
      </w:r>
      <w:r>
        <w:rPr>
          <w:spacing w:val="-3"/>
        </w:rPr>
        <w:t> </w:t>
      </w:r>
      <w:r>
        <w:rPr/>
        <w:t>inte</w:t>
      </w:r>
      <w:r>
        <w:rPr>
          <w:spacing w:val="-3"/>
        </w:rPr>
        <w:t> </w:t>
      </w:r>
      <w:r>
        <w:rPr/>
        <w:t>annat</w:t>
      </w:r>
      <w:r>
        <w:rPr>
          <w:spacing w:val="-3"/>
        </w:rPr>
        <w:t> </w:t>
      </w:r>
      <w:r>
        <w:rPr/>
        <w:t>anges</w:t>
      </w:r>
      <w:r>
        <w:rPr>
          <w:spacing w:val="-3"/>
        </w:rPr>
        <w:t> </w:t>
      </w:r>
      <w:r>
        <w:rPr/>
        <w:t>får</w:t>
      </w:r>
      <w:r>
        <w:rPr>
          <w:spacing w:val="-3"/>
        </w:rPr>
        <w:t> </w:t>
      </w:r>
      <w:r>
        <w:rPr/>
        <w:t>detta</w:t>
      </w:r>
      <w:r>
        <w:rPr>
          <w:spacing w:val="-3"/>
        </w:rPr>
        <w:t> </w:t>
      </w:r>
      <w:r>
        <w:rPr/>
        <w:t>dokument</w:t>
      </w:r>
      <w:r>
        <w:rPr>
          <w:spacing w:val="-3"/>
        </w:rPr>
        <w:t> </w:t>
      </w:r>
      <w:r>
        <w:rPr/>
        <w:t>vidareutnyttjas</w:t>
      </w:r>
      <w:r>
        <w:rPr>
          <w:spacing w:val="-3"/>
        </w:rPr>
        <w:t> </w:t>
      </w:r>
      <w:r>
        <w:rPr/>
        <w:t>enligt</w:t>
      </w:r>
      <w:r>
        <w:rPr>
          <w:spacing w:val="-3"/>
        </w:rPr>
        <w:t> </w:t>
      </w:r>
      <w:r>
        <w:rPr/>
        <w:t>villkoren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licensen</w:t>
      </w:r>
      <w:r>
        <w:rPr>
          <w:spacing w:val="-3"/>
        </w:rPr>
        <w:t> </w:t>
      </w:r>
      <w:r>
        <w:rPr/>
        <w:t>Creative</w:t>
      </w:r>
      <w:r>
        <w:rPr>
          <w:spacing w:val="-3"/>
        </w:rPr>
        <w:t> </w:t>
      </w:r>
      <w:r>
        <w:rPr/>
        <w:t>Commons</w:t>
      </w:r>
      <w:r>
        <w:rPr>
          <w:spacing w:val="-3"/>
        </w:rPr>
        <w:t> </w:t>
      </w:r>
      <w:r>
        <w:rPr/>
        <w:t>Attribution</w:t>
      </w:r>
      <w:r>
        <w:rPr>
          <w:spacing w:val="-3"/>
        </w:rPr>
        <w:t> </w:t>
      </w:r>
      <w:r>
        <w:rPr/>
        <w:t>4.0 International (CC BY 4.0) 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 Detta innebär att vidareutnyttjande är tillåtet förutsatt att källa anges på lämpligt sätt liksom eventuella förändringar.</w:t>
      </w:r>
    </w:p>
    <w:p>
      <w:pPr>
        <w:pStyle w:val="BodyText"/>
        <w:spacing w:before="74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Tillstånd</w:t>
      </w:r>
      <w:r>
        <w:rPr>
          <w:spacing w:val="-4"/>
        </w:rPr>
        <w:t> </w:t>
      </w:r>
      <w:r>
        <w:rPr/>
        <w:t>för</w:t>
      </w:r>
      <w:r>
        <w:rPr>
          <w:spacing w:val="-4"/>
        </w:rPr>
        <w:t> </w:t>
      </w:r>
      <w:r>
        <w:rPr/>
        <w:t>användning</w:t>
      </w:r>
      <w:r>
        <w:rPr>
          <w:spacing w:val="-4"/>
        </w:rPr>
        <w:t> </w:t>
      </w:r>
      <w:r>
        <w:rPr/>
        <w:t>eller</w:t>
      </w:r>
      <w:r>
        <w:rPr>
          <w:spacing w:val="-4"/>
        </w:rPr>
        <w:t> </w:t>
      </w:r>
      <w:r>
        <w:rPr/>
        <w:t>mångfaldigande</w:t>
      </w:r>
      <w:r>
        <w:rPr>
          <w:spacing w:val="-4"/>
        </w:rPr>
        <w:t> </w:t>
      </w:r>
      <w:r>
        <w:rPr/>
        <w:t>av</w:t>
      </w:r>
      <w:r>
        <w:rPr>
          <w:spacing w:val="-4"/>
        </w:rPr>
        <w:t> </w:t>
      </w:r>
      <w:r>
        <w:rPr/>
        <w:t>delar</w:t>
      </w:r>
      <w:r>
        <w:rPr>
          <w:spacing w:val="-4"/>
        </w:rPr>
        <w:t> </w:t>
      </w:r>
      <w:r>
        <w:rPr/>
        <w:t>som</w:t>
      </w:r>
      <w:r>
        <w:rPr>
          <w:spacing w:val="-4"/>
        </w:rPr>
        <w:t> </w:t>
      </w:r>
      <w:r>
        <w:rPr/>
        <w:t>inte</w:t>
      </w:r>
      <w:r>
        <w:rPr>
          <w:spacing w:val="-4"/>
        </w:rPr>
        <w:t> </w:t>
      </w:r>
      <w:r>
        <w:rPr/>
        <w:t>ägs</w:t>
      </w:r>
      <w:r>
        <w:rPr>
          <w:spacing w:val="-4"/>
        </w:rPr>
        <w:t> </w:t>
      </w:r>
      <w:r>
        <w:rPr/>
        <w:t>av</w:t>
      </w:r>
      <w:r>
        <w:rPr>
          <w:spacing w:val="-4"/>
        </w:rPr>
        <w:t> </w:t>
      </w:r>
      <w:r>
        <w:rPr/>
        <w:t>Europeiska</w:t>
      </w:r>
      <w:r>
        <w:rPr>
          <w:spacing w:val="-4"/>
        </w:rPr>
        <w:t> </w:t>
      </w:r>
      <w:r>
        <w:rPr/>
        <w:t>unionen</w:t>
      </w:r>
      <w:r>
        <w:rPr>
          <w:spacing w:val="-4"/>
        </w:rPr>
        <w:t> </w:t>
      </w:r>
      <w:r>
        <w:rPr/>
        <w:t>kan</w:t>
      </w:r>
      <w:r>
        <w:rPr>
          <w:spacing w:val="-4"/>
        </w:rPr>
        <w:t> </w:t>
      </w:r>
      <w:r>
        <w:rPr/>
        <w:t>behöva</w:t>
      </w:r>
      <w:r>
        <w:rPr>
          <w:spacing w:val="-4"/>
        </w:rPr>
        <w:t> </w:t>
      </w:r>
      <w:r>
        <w:rPr/>
        <w:t>sökas</w:t>
      </w:r>
      <w:r>
        <w:rPr>
          <w:spacing w:val="-4"/>
        </w:rPr>
        <w:t> </w:t>
      </w:r>
      <w:r>
        <w:rPr/>
        <w:t>direkt från respektive upphovsrättsinnehavare. Europeiska unionen äger inte upphovsrätten till följande delar: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left"/>
        <w:rPr>
          <w:sz w:val="20"/>
        </w:rPr>
      </w:pPr>
      <w:r>
        <w:rPr>
          <w:sz w:val="20"/>
        </w:rPr>
        <w:t>Omslag,</w:t>
      </w:r>
      <w:r>
        <w:rPr>
          <w:spacing w:val="-7"/>
          <w:sz w:val="20"/>
        </w:rPr>
        <w:t> </w:t>
      </w:r>
      <w:r>
        <w:rPr>
          <w:sz w:val="20"/>
        </w:rPr>
        <w:t>[del</w:t>
      </w:r>
      <w:r>
        <w:rPr>
          <w:spacing w:val="-5"/>
          <w:sz w:val="20"/>
        </w:rPr>
        <w:t> </w:t>
      </w:r>
      <w:r>
        <w:rPr>
          <w:sz w:val="20"/>
        </w:rPr>
        <w:t>som</w:t>
      </w:r>
      <w:r>
        <w:rPr>
          <w:spacing w:val="-5"/>
          <w:sz w:val="20"/>
        </w:rPr>
        <w:t> </w:t>
      </w:r>
      <w:r>
        <w:rPr>
          <w:sz w:val="20"/>
        </w:rPr>
        <w:t>berörs],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källa:</w:t>
      </w:r>
      <w:r>
        <w:rPr>
          <w:i/>
          <w:spacing w:val="-4"/>
          <w:sz w:val="20"/>
        </w:rPr>
        <w:t> </w:t>
      </w:r>
      <w:r>
        <w:rPr>
          <w:sz w:val="20"/>
        </w:rPr>
        <w:t>e.g.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Unsplash.com].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Sidan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[del</w:t>
      </w:r>
      <w:r>
        <w:rPr>
          <w:spacing w:val="-5"/>
          <w:sz w:val="20"/>
        </w:rPr>
        <w:t> </w:t>
      </w:r>
      <w:r>
        <w:rPr>
          <w:sz w:val="20"/>
        </w:rPr>
        <w:t>som</w:t>
      </w:r>
      <w:r>
        <w:rPr>
          <w:spacing w:val="-6"/>
          <w:sz w:val="20"/>
        </w:rPr>
        <w:t> </w:t>
      </w:r>
      <w:r>
        <w:rPr>
          <w:sz w:val="20"/>
        </w:rPr>
        <w:t>berörs],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källa:</w:t>
      </w:r>
      <w:r>
        <w:rPr>
          <w:i/>
          <w:spacing w:val="-4"/>
          <w:sz w:val="20"/>
        </w:rPr>
        <w:t> </w:t>
      </w:r>
      <w:r>
        <w:rPr>
          <w:sz w:val="20"/>
        </w:rPr>
        <w:t>e.g.</w:t>
      </w:r>
      <w:r>
        <w:rPr>
          <w:spacing w:val="-5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5"/>
          <w:sz w:val="20"/>
        </w:rPr>
        <w:t> </w:t>
      </w:r>
      <w:r>
        <w:rPr>
          <w:sz w:val="20"/>
        </w:rPr>
        <w:t>[upphovsman],</w:t>
      </w:r>
      <w:r>
        <w:rPr>
          <w:spacing w:val="-5"/>
          <w:sz w:val="20"/>
        </w:rPr>
        <w:t> </w:t>
      </w:r>
      <w:r>
        <w:rPr>
          <w:sz w:val="20"/>
        </w:rPr>
        <w:t>med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ensamrätt.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Sidan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4"/>
          <w:sz w:val="20"/>
        </w:rPr>
        <w:t> </w:t>
      </w:r>
      <w:r>
        <w:rPr>
          <w:sz w:val="20"/>
        </w:rPr>
        <w:t>[del</w:t>
      </w:r>
      <w:r>
        <w:rPr>
          <w:spacing w:val="-4"/>
          <w:sz w:val="20"/>
        </w:rPr>
        <w:t> </w:t>
      </w:r>
      <w:r>
        <w:rPr>
          <w:sz w:val="20"/>
        </w:rPr>
        <w:t>som</w:t>
      </w:r>
      <w:r>
        <w:rPr>
          <w:spacing w:val="-4"/>
          <w:sz w:val="20"/>
        </w:rPr>
        <w:t> </w:t>
      </w:r>
      <w:r>
        <w:rPr>
          <w:sz w:val="20"/>
        </w:rPr>
        <w:t>berörs],</w:t>
      </w:r>
      <w:r>
        <w:rPr>
          <w:spacing w:val="-4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källa:</w:t>
      </w:r>
      <w:r>
        <w:rPr>
          <w:i/>
          <w:spacing w:val="-3"/>
          <w:sz w:val="20"/>
        </w:rPr>
        <w:t> </w:t>
      </w:r>
      <w:r>
        <w:rPr>
          <w:sz w:val="20"/>
        </w:rPr>
        <w:t>e.g.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5"/>
          <w:sz w:val="20"/>
        </w:rPr>
        <w:t> </w:t>
      </w:r>
      <w:r>
        <w:rPr>
          <w:sz w:val="20"/>
        </w:rPr>
        <w:t>[upphovsman],</w:t>
      </w:r>
      <w:r>
        <w:rPr>
          <w:spacing w:val="-4"/>
          <w:sz w:val="20"/>
        </w:rPr>
        <w:t> </w:t>
      </w:r>
      <w:r>
        <w:rPr>
          <w:sz w:val="20"/>
        </w:rPr>
        <w:t>med</w:t>
      </w:r>
      <w:r>
        <w:rPr>
          <w:spacing w:val="-4"/>
          <w:sz w:val="20"/>
        </w:rPr>
        <w:t> </w:t>
      </w:r>
      <w:r>
        <w:rPr>
          <w:sz w:val="20"/>
        </w:rPr>
        <w:t>CC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2.0-licens</w:t>
      </w:r>
      <w:r>
        <w:rPr>
          <w:spacing w:val="-4"/>
          <w:sz w:val="20"/>
        </w:rPr>
        <w:t> </w:t>
      </w:r>
      <w:r>
        <w:rPr>
          <w:sz w:val="20"/>
        </w:rPr>
        <w:t>[+</w:t>
      </w:r>
      <w:r>
        <w:rPr>
          <w:spacing w:val="-4"/>
          <w:sz w:val="20"/>
        </w:rPr>
        <w:t> </w:t>
      </w:r>
      <w:r>
        <w:rPr>
          <w:sz w:val="20"/>
        </w:rPr>
        <w:t>länk</w:t>
      </w:r>
      <w:r>
        <w:rPr>
          <w:spacing w:val="-4"/>
          <w:sz w:val="20"/>
        </w:rPr>
        <w:t> </w:t>
      </w:r>
      <w:r>
        <w:rPr>
          <w:sz w:val="20"/>
        </w:rPr>
        <w:t>till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licensen].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[Illustration/Foto/etc.],</w:t>
      </w:r>
      <w:r>
        <w:rPr>
          <w:spacing w:val="-6"/>
          <w:sz w:val="20"/>
        </w:rPr>
        <w:t> </w:t>
      </w:r>
      <w:r>
        <w:rPr>
          <w:sz w:val="20"/>
        </w:rPr>
        <w:t>s.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©</w:t>
      </w:r>
      <w:r>
        <w:rPr>
          <w:spacing w:val="-6"/>
          <w:sz w:val="20"/>
        </w:rPr>
        <w:t> </w:t>
      </w:r>
      <w:r>
        <w:rPr>
          <w:sz w:val="20"/>
        </w:rPr>
        <w:t>[konstnärens</w:t>
      </w:r>
      <w:r>
        <w:rPr>
          <w:spacing w:val="-6"/>
          <w:sz w:val="20"/>
        </w:rPr>
        <w:t> </w:t>
      </w:r>
      <w:r>
        <w:rPr>
          <w:sz w:val="20"/>
        </w:rPr>
        <w:t>namn],</w:t>
      </w:r>
      <w:r>
        <w:rPr>
          <w:spacing w:val="-5"/>
          <w:sz w:val="20"/>
        </w:rPr>
        <w:t> </w:t>
      </w:r>
      <w:r>
        <w:rPr>
          <w:sz w:val="20"/>
        </w:rPr>
        <w:t>[år],</w:t>
      </w:r>
      <w:r>
        <w:rPr>
          <w:spacing w:val="-6"/>
          <w:sz w:val="20"/>
        </w:rPr>
        <w:t> </w:t>
      </w:r>
      <w:r>
        <w:rPr>
          <w:sz w:val="20"/>
        </w:rPr>
        <w:t>med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ensamrätt.</w:t>
      </w:r>
    </w:p>
    <w:p>
      <w:pPr>
        <w:pStyle w:val="BodyText"/>
        <w:spacing w:before="80"/>
        <w:ind w:left="0"/>
      </w:pPr>
    </w:p>
    <w:p>
      <w:pPr>
        <w:pStyle w:val="BodyText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Tillstånd</w:t>
      </w:r>
      <w:r>
        <w:rPr>
          <w:spacing w:val="-4"/>
        </w:rPr>
        <w:t> </w:t>
      </w:r>
      <w:r>
        <w:rPr/>
        <w:t>för</w:t>
      </w:r>
      <w:r>
        <w:rPr>
          <w:spacing w:val="-4"/>
        </w:rPr>
        <w:t> </w:t>
      </w:r>
      <w:r>
        <w:rPr/>
        <w:t>användning</w:t>
      </w:r>
      <w:r>
        <w:rPr>
          <w:spacing w:val="-4"/>
        </w:rPr>
        <w:t> </w:t>
      </w:r>
      <w:r>
        <w:rPr/>
        <w:t>eller</w:t>
      </w:r>
      <w:r>
        <w:rPr>
          <w:spacing w:val="-4"/>
        </w:rPr>
        <w:t> </w:t>
      </w:r>
      <w:r>
        <w:rPr/>
        <w:t>mångfaldigande</w:t>
      </w:r>
      <w:r>
        <w:rPr>
          <w:spacing w:val="-4"/>
        </w:rPr>
        <w:t> </w:t>
      </w:r>
      <w:r>
        <w:rPr/>
        <w:t>av</w:t>
      </w:r>
      <w:r>
        <w:rPr>
          <w:spacing w:val="-4"/>
        </w:rPr>
        <w:t> </w:t>
      </w:r>
      <w:r>
        <w:rPr/>
        <w:t>delar</w:t>
      </w:r>
      <w:r>
        <w:rPr>
          <w:spacing w:val="-4"/>
        </w:rPr>
        <w:t> </w:t>
      </w:r>
      <w:r>
        <w:rPr/>
        <w:t>som</w:t>
      </w:r>
      <w:r>
        <w:rPr>
          <w:spacing w:val="-4"/>
        </w:rPr>
        <w:t> </w:t>
      </w:r>
      <w:r>
        <w:rPr/>
        <w:t>inte</w:t>
      </w:r>
      <w:r>
        <w:rPr>
          <w:spacing w:val="-4"/>
        </w:rPr>
        <w:t> </w:t>
      </w:r>
      <w:r>
        <w:rPr/>
        <w:t>ägs</w:t>
      </w:r>
      <w:r>
        <w:rPr>
          <w:spacing w:val="-4"/>
        </w:rPr>
        <w:t> </w:t>
      </w:r>
      <w:r>
        <w:rPr/>
        <w:t>av</w:t>
      </w:r>
      <w:r>
        <w:rPr>
          <w:spacing w:val="-4"/>
        </w:rPr>
        <w:t> </w:t>
      </w:r>
      <w:r>
        <w:rPr/>
        <w:t>Europeiska</w:t>
      </w:r>
      <w:r>
        <w:rPr>
          <w:spacing w:val="-4"/>
        </w:rPr>
        <w:t> </w:t>
      </w:r>
      <w:r>
        <w:rPr/>
        <w:t>unionen</w:t>
      </w:r>
      <w:r>
        <w:rPr>
          <w:spacing w:val="-4"/>
        </w:rPr>
        <w:t> </w:t>
      </w:r>
      <w:r>
        <w:rPr/>
        <w:t>kan</w:t>
      </w:r>
      <w:r>
        <w:rPr>
          <w:spacing w:val="-4"/>
        </w:rPr>
        <w:t> </w:t>
      </w:r>
      <w:r>
        <w:rPr/>
        <w:t>behöva</w:t>
      </w:r>
      <w:r>
        <w:rPr>
          <w:spacing w:val="-4"/>
        </w:rPr>
        <w:t> </w:t>
      </w:r>
      <w:r>
        <w:rPr/>
        <w:t>sökas</w:t>
      </w:r>
      <w:r>
        <w:rPr>
          <w:spacing w:val="-4"/>
        </w:rPr>
        <w:t> </w:t>
      </w:r>
      <w:r>
        <w:rPr/>
        <w:t>direkt från respektive upphovsrättsinnehavare.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4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246972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446671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43" w:firstLine="0"/>
        <w:jc w:val="left"/>
        <w:rPr>
          <w:sz w:val="18"/>
        </w:rPr>
      </w:pPr>
      <w:r>
        <w:rPr>
          <w:sz w:val="18"/>
        </w:rPr>
        <w:t>Vidareutnyttjande tillåtet med angivande av källan och förutsatt att detta dokuments ursprungliga mening eller budskap inte förvanskas. Europeiska kommissionen är inte ansvarig för eventuella följder av vidareutnyttjandet av denna publikation.</w:t>
      </w:r>
      <w:r>
        <w:rPr>
          <w:spacing w:val="-6"/>
          <w:sz w:val="18"/>
        </w:rPr>
        <w:t> </w:t>
      </w:r>
      <w:r>
        <w:rPr>
          <w:sz w:val="18"/>
        </w:rPr>
        <w:t>Vidareutnyttjandet</w:t>
      </w:r>
      <w:r>
        <w:rPr>
          <w:spacing w:val="-6"/>
          <w:sz w:val="18"/>
        </w:rPr>
        <w:t> </w:t>
      </w:r>
      <w:r>
        <w:rPr>
          <w:sz w:val="18"/>
        </w:rPr>
        <w:t>av</w:t>
      </w:r>
      <w:r>
        <w:rPr>
          <w:spacing w:val="-6"/>
          <w:sz w:val="18"/>
        </w:rPr>
        <w:t> </w:t>
      </w:r>
      <w:r>
        <w:rPr>
          <w:sz w:val="18"/>
        </w:rPr>
        <w:t>Europeiska</w:t>
      </w:r>
      <w:r>
        <w:rPr>
          <w:spacing w:val="-6"/>
          <w:sz w:val="18"/>
        </w:rPr>
        <w:t> </w:t>
      </w:r>
      <w:r>
        <w:rPr>
          <w:sz w:val="18"/>
        </w:rPr>
        <w:t>kommissionens</w:t>
      </w:r>
      <w:r>
        <w:rPr>
          <w:spacing w:val="-6"/>
          <w:sz w:val="18"/>
        </w:rPr>
        <w:t> </w:t>
      </w:r>
      <w:r>
        <w:rPr>
          <w:sz w:val="18"/>
        </w:rPr>
        <w:t>handlingar</w:t>
      </w:r>
      <w:r>
        <w:rPr>
          <w:spacing w:val="-6"/>
          <w:sz w:val="18"/>
        </w:rPr>
        <w:t> </w:t>
      </w:r>
      <w:r>
        <w:rPr>
          <w:sz w:val="18"/>
        </w:rPr>
        <w:t>regleras</w:t>
      </w:r>
      <w:r>
        <w:rPr>
          <w:spacing w:val="-6"/>
          <w:sz w:val="18"/>
        </w:rPr>
        <w:t> </w:t>
      </w:r>
      <w:r>
        <w:rPr>
          <w:sz w:val="18"/>
        </w:rPr>
        <w:t>enligt</w:t>
      </w:r>
      <w:r>
        <w:rPr>
          <w:spacing w:val="-6"/>
          <w:sz w:val="18"/>
        </w:rPr>
        <w:t> </w:t>
      </w:r>
      <w:r>
        <w:rPr>
          <w:sz w:val="18"/>
        </w:rPr>
        <w:t>kommissionens</w:t>
      </w:r>
      <w:r>
        <w:rPr>
          <w:spacing w:val="-6"/>
          <w:sz w:val="18"/>
        </w:rPr>
        <w:t> </w:t>
      </w:r>
      <w:r>
        <w:rPr>
          <w:sz w:val="18"/>
        </w:rPr>
        <w:t>beslut</w:t>
      </w:r>
      <w:r>
        <w:rPr>
          <w:spacing w:val="-6"/>
          <w:sz w:val="18"/>
        </w:rPr>
        <w:t> </w:t>
      </w:r>
      <w:r>
        <w:rPr>
          <w:sz w:val="18"/>
        </w:rPr>
        <w:t>2011/833/ EU av den 12 december 2011 om vidareutnyttjande av kommissionens handlingar (EUT L 330, 14.12.2011, s. 39, ELI: </w:t>
      </w:r>
      <w:hyperlink r:id="rId6">
        <w:r>
          <w:rPr>
            <w:color w:val="0000FF"/>
            <w:spacing w:val="-2"/>
            <w:sz w:val="18"/>
            <w:u w:val="single" w:color="0000FF"/>
          </w:rPr>
          <w:t>http://data.europa.eu/eli/dec/2011/833/o</w:t>
        </w:r>
        <w:r>
          <w:rPr>
            <w:color w:val="0000FF"/>
            <w:spacing w:val="-2"/>
            <w:sz w:val="18"/>
            <w:u w:val="none"/>
          </w:rPr>
          <w:t>j</w:t>
        </w:r>
      </w:hyperlink>
      <w:r>
        <w:rPr>
          <w:spacing w:val="-2"/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Kontakta</w:t>
      </w:r>
      <w:r>
        <w:rPr>
          <w:spacing w:val="-8"/>
        </w:rPr>
        <w:t> </w:t>
      </w:r>
      <w:r>
        <w:rPr>
          <w:spacing w:val="-5"/>
        </w:rPr>
        <w:t>EU</w:t>
      </w:r>
    </w:p>
    <w:p>
      <w:pPr>
        <w:pStyle w:val="Heading2"/>
        <w:spacing w:before="154"/>
      </w:pPr>
      <w:r>
        <w:rPr>
          <w:spacing w:val="-2"/>
        </w:rPr>
        <w:t>Besök</w:t>
      </w:r>
    </w:p>
    <w:p>
      <w:pPr>
        <w:spacing w:line="280" w:lineRule="auto" w:before="167"/>
        <w:ind w:left="85" w:right="2010" w:firstLine="0"/>
        <w:jc w:val="left"/>
        <w:rPr>
          <w:sz w:val="22"/>
        </w:rPr>
      </w:pPr>
      <w:r>
        <w:rPr>
          <w:sz w:val="22"/>
        </w:rPr>
        <w:t>Det</w:t>
      </w:r>
      <w:r>
        <w:rPr>
          <w:spacing w:val="-4"/>
          <w:sz w:val="22"/>
        </w:rPr>
        <w:t> </w:t>
      </w:r>
      <w:r>
        <w:rPr>
          <w:sz w:val="22"/>
        </w:rPr>
        <w:t>finns</w:t>
      </w:r>
      <w:r>
        <w:rPr>
          <w:spacing w:val="-4"/>
          <w:sz w:val="22"/>
        </w:rPr>
        <w:t> </w:t>
      </w:r>
      <w:r>
        <w:rPr>
          <w:sz w:val="22"/>
        </w:rPr>
        <w:t>hundratals</w:t>
      </w:r>
      <w:r>
        <w:rPr>
          <w:spacing w:val="-4"/>
          <w:sz w:val="22"/>
        </w:rPr>
        <w:t> </w:t>
      </w:r>
      <w:r>
        <w:rPr>
          <w:sz w:val="22"/>
        </w:rPr>
        <w:t>Europa</w:t>
      </w:r>
      <w:r>
        <w:rPr>
          <w:spacing w:val="-4"/>
          <w:sz w:val="22"/>
        </w:rPr>
        <w:t> </w:t>
      </w:r>
      <w:r>
        <w:rPr>
          <w:sz w:val="22"/>
        </w:rPr>
        <w:t>direkt-kontor</w:t>
      </w:r>
      <w:r>
        <w:rPr>
          <w:spacing w:val="-4"/>
          <w:sz w:val="22"/>
        </w:rPr>
        <w:t> </w:t>
      </w:r>
      <w:r>
        <w:rPr>
          <w:sz w:val="22"/>
        </w:rPr>
        <w:t>i</w:t>
      </w:r>
      <w:r>
        <w:rPr>
          <w:spacing w:val="-4"/>
          <w:sz w:val="22"/>
        </w:rPr>
        <w:t> </w:t>
      </w:r>
      <w:r>
        <w:rPr>
          <w:sz w:val="22"/>
        </w:rPr>
        <w:t>hela</w:t>
      </w:r>
      <w:r>
        <w:rPr>
          <w:spacing w:val="-4"/>
          <w:sz w:val="22"/>
        </w:rPr>
        <w:t> </w:t>
      </w:r>
      <w:r>
        <w:rPr>
          <w:sz w:val="22"/>
        </w:rPr>
        <w:t>EU.</w:t>
      </w:r>
      <w:r>
        <w:rPr>
          <w:spacing w:val="-4"/>
          <w:sz w:val="22"/>
        </w:rPr>
        <w:t> </w:t>
      </w:r>
      <w:r>
        <w:rPr>
          <w:sz w:val="22"/>
        </w:rPr>
        <w:t>Hitta</w:t>
      </w:r>
      <w:r>
        <w:rPr>
          <w:spacing w:val="-4"/>
          <w:sz w:val="22"/>
        </w:rPr>
        <w:t> </w:t>
      </w:r>
      <w:r>
        <w:rPr>
          <w:sz w:val="22"/>
        </w:rPr>
        <w:t>ditt</w:t>
      </w:r>
      <w:r>
        <w:rPr>
          <w:spacing w:val="-4"/>
          <w:sz w:val="22"/>
        </w:rPr>
        <w:t> </w:t>
      </w:r>
      <w:r>
        <w:rPr>
          <w:sz w:val="22"/>
        </w:rPr>
        <w:t>närmaste</w:t>
      </w:r>
      <w:r>
        <w:rPr>
          <w:spacing w:val="-4"/>
          <w:sz w:val="22"/>
        </w:rPr>
        <w:t> </w:t>
      </w:r>
      <w:r>
        <w:rPr>
          <w:sz w:val="22"/>
        </w:rPr>
        <w:t>kontor</w:t>
      </w:r>
      <w:r>
        <w:rPr>
          <w:spacing w:val="-4"/>
          <w:sz w:val="22"/>
        </w:rPr>
        <w:t> </w:t>
      </w:r>
      <w:r>
        <w:rPr>
          <w:sz w:val="22"/>
        </w:rPr>
        <w:t>på</w:t>
      </w:r>
      <w:r>
        <w:rPr>
          <w:spacing w:val="-4"/>
          <w:sz w:val="22"/>
        </w:rPr>
        <w:t> </w:t>
      </w:r>
      <w:r>
        <w:rPr>
          <w:sz w:val="22"/>
        </w:rPr>
        <w:t>nätet </w:t>
      </w:r>
      <w:r>
        <w:rPr>
          <w:spacing w:val="-2"/>
          <w:sz w:val="22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pacing w:val="-2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pacing w:val="-2"/>
            <w:sz w:val="22"/>
            <w:u w:val="single" w:color="0000FF"/>
          </w:rPr>
          <w:t>eu/meet-us_sv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02"/>
      </w:pPr>
      <w:r>
        <w:rPr/>
        <w:t>Ring</w:t>
      </w:r>
      <w:r>
        <w:rPr>
          <w:spacing w:val="-5"/>
        </w:rPr>
        <w:t> </w:t>
      </w:r>
      <w:r>
        <w:rPr/>
        <w:t>eller</w:t>
      </w:r>
      <w:r>
        <w:rPr>
          <w:spacing w:val="-4"/>
        </w:rPr>
        <w:t> </w:t>
      </w:r>
      <w:r>
        <w:rPr>
          <w:spacing w:val="-2"/>
        </w:rPr>
        <w:t>skriv</w:t>
      </w:r>
    </w:p>
    <w:p>
      <w:pPr>
        <w:spacing w:before="167"/>
        <w:ind w:left="85" w:right="0" w:firstLine="0"/>
        <w:jc w:val="left"/>
        <w:rPr>
          <w:sz w:val="22"/>
        </w:rPr>
      </w:pPr>
      <w:r>
        <w:rPr>
          <w:sz w:val="22"/>
        </w:rPr>
        <w:t>Tjänsten</w:t>
      </w:r>
      <w:r>
        <w:rPr>
          <w:spacing w:val="-7"/>
          <w:sz w:val="22"/>
        </w:rPr>
        <w:t> </w:t>
      </w:r>
      <w:r>
        <w:rPr>
          <w:sz w:val="22"/>
        </w:rPr>
        <w:t>Europa</w:t>
      </w:r>
      <w:r>
        <w:rPr>
          <w:spacing w:val="-4"/>
          <w:sz w:val="22"/>
        </w:rPr>
        <w:t> </w:t>
      </w:r>
      <w:r>
        <w:rPr>
          <w:sz w:val="22"/>
        </w:rPr>
        <w:t>direkt</w:t>
      </w:r>
      <w:r>
        <w:rPr>
          <w:spacing w:val="-4"/>
          <w:sz w:val="22"/>
        </w:rPr>
        <w:t> </w:t>
      </w:r>
      <w:r>
        <w:rPr>
          <w:sz w:val="22"/>
        </w:rPr>
        <w:t>svarar</w:t>
      </w:r>
      <w:r>
        <w:rPr>
          <w:spacing w:val="-5"/>
          <w:sz w:val="22"/>
        </w:rPr>
        <w:t> </w:t>
      </w:r>
      <w:r>
        <w:rPr>
          <w:sz w:val="22"/>
        </w:rPr>
        <w:t>på</w:t>
      </w:r>
      <w:r>
        <w:rPr>
          <w:spacing w:val="-4"/>
          <w:sz w:val="22"/>
        </w:rPr>
        <w:t> </w:t>
      </w:r>
      <w:r>
        <w:rPr>
          <w:sz w:val="22"/>
        </w:rPr>
        <w:t>dina</w:t>
      </w:r>
      <w:r>
        <w:rPr>
          <w:spacing w:val="-4"/>
          <w:sz w:val="22"/>
        </w:rPr>
        <w:t> </w:t>
      </w:r>
      <w:r>
        <w:rPr>
          <w:sz w:val="22"/>
        </w:rPr>
        <w:t>frågor</w:t>
      </w:r>
      <w:r>
        <w:rPr>
          <w:spacing w:val="-4"/>
          <w:sz w:val="22"/>
        </w:rPr>
        <w:t> </w:t>
      </w:r>
      <w:r>
        <w:rPr>
          <w:sz w:val="22"/>
        </w:rPr>
        <w:t>om</w:t>
      </w:r>
      <w:r>
        <w:rPr>
          <w:spacing w:val="-5"/>
          <w:sz w:val="22"/>
        </w:rPr>
        <w:t> </w:t>
      </w:r>
      <w:r>
        <w:rPr>
          <w:sz w:val="22"/>
        </w:rPr>
        <w:t>EU.</w:t>
      </w:r>
      <w:r>
        <w:rPr>
          <w:spacing w:val="-4"/>
          <w:sz w:val="22"/>
        </w:rPr>
        <w:t> </w:t>
      </w:r>
      <w:r>
        <w:rPr>
          <w:sz w:val="22"/>
        </w:rPr>
        <w:t>Kontakta</w:t>
      </w:r>
      <w:r>
        <w:rPr>
          <w:spacing w:val="-4"/>
          <w:sz w:val="22"/>
        </w:rPr>
        <w:t> </w:t>
      </w:r>
      <w:r>
        <w:rPr>
          <w:sz w:val="22"/>
        </w:rPr>
        <w:t>tjänsten</w:t>
      </w:r>
      <w:r>
        <w:rPr>
          <w:spacing w:val="-4"/>
          <w:sz w:val="22"/>
        </w:rPr>
        <w:t> </w:t>
      </w:r>
      <w:r>
        <w:rPr>
          <w:sz w:val="22"/>
        </w:rPr>
        <w:t>på</w:t>
      </w:r>
      <w:r>
        <w:rPr>
          <w:spacing w:val="-5"/>
          <w:sz w:val="22"/>
        </w:rPr>
        <w:t> </w:t>
      </w:r>
      <w:r>
        <w:rPr>
          <w:sz w:val="22"/>
        </w:rPr>
        <w:t>något</w:t>
      </w:r>
      <w:r>
        <w:rPr>
          <w:spacing w:val="-4"/>
          <w:sz w:val="22"/>
        </w:rPr>
        <w:t> </w:t>
      </w:r>
      <w:r>
        <w:rPr>
          <w:sz w:val="22"/>
        </w:rPr>
        <w:t>av</w:t>
      </w:r>
      <w:r>
        <w:rPr>
          <w:spacing w:val="-4"/>
          <w:sz w:val="22"/>
        </w:rPr>
        <w:t> </w:t>
      </w:r>
      <w:r>
        <w:rPr>
          <w:sz w:val="22"/>
        </w:rPr>
        <w:t>följande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sätt: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166" w:after="0"/>
        <w:ind w:left="474" w:right="0" w:hanging="399"/>
        <w:jc w:val="left"/>
        <w:rPr>
          <w:sz w:val="22"/>
        </w:rPr>
      </w:pPr>
      <w:r>
        <w:rPr>
          <w:sz w:val="22"/>
        </w:rPr>
        <w:t>Ring</w:t>
      </w:r>
      <w:r>
        <w:rPr>
          <w:spacing w:val="-7"/>
          <w:sz w:val="22"/>
        </w:rPr>
        <w:t> </w:t>
      </w:r>
      <w:r>
        <w:rPr>
          <w:sz w:val="22"/>
        </w:rPr>
        <w:t>det</w:t>
      </w:r>
      <w:r>
        <w:rPr>
          <w:spacing w:val="-4"/>
          <w:sz w:val="22"/>
        </w:rPr>
        <w:t> </w:t>
      </w:r>
      <w:r>
        <w:rPr>
          <w:sz w:val="22"/>
        </w:rPr>
        <w:t>avgiftsfria</w:t>
      </w:r>
      <w:r>
        <w:rPr>
          <w:spacing w:val="-4"/>
          <w:sz w:val="22"/>
        </w:rPr>
        <w:t> </w:t>
      </w:r>
      <w:r>
        <w:rPr>
          <w:sz w:val="22"/>
        </w:rPr>
        <w:t>telefonnumret</w:t>
      </w:r>
      <w:r>
        <w:rPr>
          <w:spacing w:val="-5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5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5"/>
          <w:sz w:val="22"/>
        </w:rPr>
        <w:t> </w:t>
      </w:r>
      <w:r>
        <w:rPr>
          <w:sz w:val="22"/>
        </w:rPr>
        <w:t>(en</w:t>
      </w:r>
      <w:r>
        <w:rPr>
          <w:spacing w:val="-4"/>
          <w:sz w:val="22"/>
        </w:rPr>
        <w:t> </w:t>
      </w:r>
      <w:r>
        <w:rPr>
          <w:sz w:val="22"/>
        </w:rPr>
        <w:t>del</w:t>
      </w:r>
      <w:r>
        <w:rPr>
          <w:spacing w:val="-4"/>
          <w:sz w:val="22"/>
        </w:rPr>
        <w:t> </w:t>
      </w:r>
      <w:r>
        <w:rPr>
          <w:sz w:val="22"/>
        </w:rPr>
        <w:t>operatörer</w:t>
      </w:r>
      <w:r>
        <w:rPr>
          <w:spacing w:val="-4"/>
          <w:sz w:val="22"/>
        </w:rPr>
        <w:t> </w:t>
      </w:r>
      <w:r>
        <w:rPr>
          <w:sz w:val="22"/>
        </w:rPr>
        <w:t>kan</w:t>
      </w:r>
      <w:r>
        <w:rPr>
          <w:spacing w:val="-5"/>
          <w:sz w:val="22"/>
        </w:rPr>
        <w:t> </w:t>
      </w:r>
      <w:r>
        <w:rPr>
          <w:sz w:val="22"/>
        </w:rPr>
        <w:t>ta</w:t>
      </w:r>
      <w:r>
        <w:rPr>
          <w:spacing w:val="-4"/>
          <w:sz w:val="22"/>
        </w:rPr>
        <w:t> </w:t>
      </w:r>
      <w:r>
        <w:rPr>
          <w:sz w:val="22"/>
        </w:rPr>
        <w:t>betalt</w:t>
      </w:r>
      <w:r>
        <w:rPr>
          <w:spacing w:val="-4"/>
          <w:sz w:val="22"/>
        </w:rPr>
        <w:t> </w:t>
      </w:r>
      <w:r>
        <w:rPr>
          <w:sz w:val="22"/>
        </w:rPr>
        <w:t>för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samtalet).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Ring</w:t>
      </w:r>
      <w:r>
        <w:rPr>
          <w:spacing w:val="-7"/>
          <w:sz w:val="22"/>
        </w:rPr>
        <w:t> </w:t>
      </w:r>
      <w:r>
        <w:rPr>
          <w:sz w:val="22"/>
        </w:rPr>
        <w:t>telefonnumret</w:t>
      </w:r>
      <w:r>
        <w:rPr>
          <w:spacing w:val="-7"/>
          <w:sz w:val="22"/>
        </w:rPr>
        <w:t> </w:t>
      </w:r>
      <w:r>
        <w:rPr>
          <w:sz w:val="22"/>
        </w:rPr>
        <w:t>+32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22999696.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42" w:after="0"/>
        <w:ind w:left="474" w:right="0" w:hanging="399"/>
        <w:jc w:val="left"/>
        <w:rPr>
          <w:sz w:val="22"/>
        </w:rPr>
      </w:pPr>
      <w:r>
        <w:rPr>
          <w:sz w:val="22"/>
        </w:rPr>
        <w:t>Skriv</w:t>
      </w:r>
      <w:r>
        <w:rPr>
          <w:spacing w:val="-10"/>
          <w:sz w:val="22"/>
        </w:rPr>
        <w:t> </w:t>
      </w:r>
      <w:r>
        <w:rPr>
          <w:sz w:val="22"/>
        </w:rPr>
        <w:t>via</w:t>
      </w:r>
      <w:r>
        <w:rPr>
          <w:spacing w:val="-10"/>
          <w:sz w:val="22"/>
        </w:rPr>
        <w:t> </w:t>
      </w:r>
      <w:r>
        <w:rPr>
          <w:sz w:val="22"/>
        </w:rPr>
        <w:t>formuläret</w:t>
      </w:r>
      <w:r>
        <w:rPr>
          <w:spacing w:val="-10"/>
          <w:sz w:val="22"/>
        </w:rPr>
        <w:t> </w:t>
      </w:r>
      <w:r>
        <w:rPr>
          <w:sz w:val="22"/>
        </w:rPr>
        <w:t>på</w:t>
      </w:r>
      <w:r>
        <w:rPr>
          <w:spacing w:val="-10"/>
          <w:sz w:val="22"/>
        </w:rPr>
        <w:t> </w:t>
      </w:r>
      <w:r>
        <w:rPr>
          <w:sz w:val="22"/>
        </w:rPr>
        <w:t>nätet</w:t>
      </w:r>
      <w:r>
        <w:rPr>
          <w:spacing w:val="-10"/>
          <w:sz w:val="22"/>
        </w:rPr>
        <w:t> </w:t>
      </w:r>
      <w:r>
        <w:rPr>
          <w:sz w:val="22"/>
        </w:rPr>
        <w:t>(</w:t>
      </w:r>
      <w:hyperlink r:id="rId11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1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1">
        <w:r>
          <w:rPr>
            <w:color w:val="0000FF"/>
            <w:sz w:val="22"/>
            <w:u w:val="single" w:color="0000FF"/>
          </w:rPr>
          <w:t>eu/write-</w:t>
        </w:r>
        <w:r>
          <w:rPr>
            <w:color w:val="0000FF"/>
            <w:spacing w:val="-2"/>
            <w:sz w:val="22"/>
            <w:u w:val="single" w:color="0000FF"/>
          </w:rPr>
          <w:t>us_sv</w:t>
        </w:r>
      </w:hyperlink>
      <w:r>
        <w:rPr>
          <w:spacing w:val="-2"/>
          <w:sz w:val="22"/>
          <w:u w:val="none"/>
        </w:rPr>
        <w:t>).</w:t>
      </w:r>
    </w:p>
    <w:p>
      <w:pPr>
        <w:pStyle w:val="BodyText"/>
        <w:spacing w:before="182"/>
        <w:ind w:left="0"/>
        <w:rPr>
          <w:sz w:val="22"/>
        </w:rPr>
      </w:pPr>
    </w:p>
    <w:p>
      <w:pPr>
        <w:pStyle w:val="Heading1"/>
      </w:pPr>
      <w:r>
        <w:rPr>
          <w:spacing w:val="-2"/>
        </w:rPr>
        <w:t>EU-information</w:t>
      </w:r>
    </w:p>
    <w:p>
      <w:pPr>
        <w:pStyle w:val="Heading2"/>
        <w:spacing w:before="155"/>
      </w:pPr>
      <w:r>
        <w:rPr/>
        <w:t>På</w:t>
      </w:r>
      <w:r>
        <w:rPr>
          <w:spacing w:val="-2"/>
        </w:rPr>
        <w:t> nätet</w:t>
      </w:r>
    </w:p>
    <w:p>
      <w:pPr>
        <w:spacing w:line="290" w:lineRule="auto" w:before="166"/>
        <w:ind w:left="85" w:right="2759" w:firstLine="0"/>
        <w:jc w:val="left"/>
        <w:rPr>
          <w:sz w:val="22"/>
        </w:rPr>
      </w:pPr>
      <w:r>
        <w:rPr>
          <w:sz w:val="22"/>
        </w:rPr>
        <w:t>På</w:t>
      </w:r>
      <w:r>
        <w:rPr>
          <w:spacing w:val="-5"/>
          <w:sz w:val="22"/>
        </w:rPr>
        <w:t> </w:t>
      </w:r>
      <w:r>
        <w:rPr>
          <w:sz w:val="22"/>
        </w:rPr>
        <w:t>webbplatsen</w:t>
      </w:r>
      <w:r>
        <w:rPr>
          <w:spacing w:val="-5"/>
          <w:sz w:val="22"/>
        </w:rPr>
        <w:t> </w:t>
      </w:r>
      <w:r>
        <w:rPr>
          <w:sz w:val="22"/>
        </w:rPr>
        <w:t>Europa</w:t>
      </w:r>
      <w:r>
        <w:rPr>
          <w:spacing w:val="-5"/>
          <w:sz w:val="22"/>
        </w:rPr>
        <w:t> </w:t>
      </w:r>
      <w:r>
        <w:rPr>
          <w:sz w:val="22"/>
        </w:rPr>
        <w:t>finns</w:t>
      </w:r>
      <w:r>
        <w:rPr>
          <w:spacing w:val="-5"/>
          <w:sz w:val="22"/>
        </w:rPr>
        <w:t> </w:t>
      </w:r>
      <w:r>
        <w:rPr>
          <w:sz w:val="22"/>
        </w:rPr>
        <w:t>det</w:t>
      </w:r>
      <w:r>
        <w:rPr>
          <w:spacing w:val="-5"/>
          <w:sz w:val="22"/>
        </w:rPr>
        <w:t> </w:t>
      </w:r>
      <w:r>
        <w:rPr>
          <w:sz w:val="22"/>
        </w:rPr>
        <w:t>information</w:t>
      </w:r>
      <w:r>
        <w:rPr>
          <w:spacing w:val="-5"/>
          <w:sz w:val="22"/>
        </w:rPr>
        <w:t> </w:t>
      </w:r>
      <w:r>
        <w:rPr>
          <w:sz w:val="22"/>
        </w:rPr>
        <w:t>om</w:t>
      </w:r>
      <w:r>
        <w:rPr>
          <w:spacing w:val="-5"/>
          <w:sz w:val="22"/>
        </w:rPr>
        <w:t> </w:t>
      </w:r>
      <w:r>
        <w:rPr>
          <w:sz w:val="22"/>
        </w:rPr>
        <w:t>EU</w:t>
      </w:r>
      <w:r>
        <w:rPr>
          <w:spacing w:val="-5"/>
          <w:sz w:val="22"/>
        </w:rPr>
        <w:t> </w:t>
      </w:r>
      <w:r>
        <w:rPr>
          <w:sz w:val="22"/>
        </w:rPr>
        <w:t>på</w:t>
      </w:r>
      <w:r>
        <w:rPr>
          <w:spacing w:val="-5"/>
          <w:sz w:val="22"/>
        </w:rPr>
        <w:t> </w:t>
      </w:r>
      <w:r>
        <w:rPr>
          <w:sz w:val="22"/>
        </w:rPr>
        <w:t>alla</w:t>
      </w:r>
      <w:r>
        <w:rPr>
          <w:spacing w:val="-5"/>
          <w:sz w:val="22"/>
        </w:rPr>
        <w:t> </w:t>
      </w:r>
      <w:r>
        <w:rPr>
          <w:sz w:val="22"/>
        </w:rPr>
        <w:t>officiella</w:t>
      </w:r>
      <w:r>
        <w:rPr>
          <w:spacing w:val="-5"/>
          <w:sz w:val="22"/>
        </w:rPr>
        <w:t> </w:t>
      </w:r>
      <w:r>
        <w:rPr>
          <w:sz w:val="22"/>
        </w:rPr>
        <w:t>EU-språk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>
          <w:spacing w:val="-2"/>
        </w:rPr>
        <w:t>EU-publikationer</w:t>
      </w:r>
    </w:p>
    <w:p>
      <w:pPr>
        <w:spacing w:line="285" w:lineRule="auto" w:before="167"/>
        <w:ind w:left="85" w:right="700" w:firstLine="0"/>
        <w:jc w:val="left"/>
        <w:rPr>
          <w:sz w:val="22"/>
        </w:rPr>
      </w:pPr>
      <w:r>
        <w:rPr>
          <w:sz w:val="22"/>
        </w:rPr>
        <w:t>Läs eller beställ EU-publikationer på nätet (</w:t>
      </w:r>
      <w:hyperlink r:id="rId13">
        <w:r>
          <w:rPr>
            <w:color w:val="0000FF"/>
            <w:sz w:val="22"/>
            <w:u w:val="single" w:color="0000FF"/>
          </w:rPr>
          <w:t>op.europa.eu/sv/publications</w:t>
        </w:r>
      </w:hyperlink>
      <w:r>
        <w:rPr>
          <w:sz w:val="22"/>
          <w:u w:val="none"/>
        </w:rPr>
        <w:t>). Om du behöver flera kopior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av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gratispublikation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kan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du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kontakta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Europa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direkt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eller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ditt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lokala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dokumentationscentrum </w:t>
      </w:r>
      <w:r>
        <w:rPr>
          <w:spacing w:val="-2"/>
          <w:sz w:val="22"/>
          <w:u w:val="none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pacing w:val="-2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pacing w:val="-2"/>
            <w:sz w:val="22"/>
            <w:u w:val="single" w:color="0000FF"/>
          </w:rPr>
          <w:t>eu/meet-us_sv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96"/>
      </w:pPr>
      <w:r>
        <w:rPr/>
        <w:t>EU-lagstiftning</w:t>
      </w:r>
      <w:r>
        <w:rPr>
          <w:spacing w:val="-8"/>
        </w:rPr>
        <w:t> </w:t>
      </w:r>
      <w:r>
        <w:rPr/>
        <w:t>och</w:t>
      </w:r>
      <w:r>
        <w:rPr>
          <w:spacing w:val="-8"/>
        </w:rPr>
        <w:t> </w:t>
      </w:r>
      <w:r>
        <w:rPr/>
        <w:t>andra</w:t>
      </w:r>
      <w:r>
        <w:rPr>
          <w:spacing w:val="-8"/>
        </w:rPr>
        <w:t> </w:t>
      </w:r>
      <w:r>
        <w:rPr/>
        <w:t>rättsliga</w:t>
      </w:r>
      <w:r>
        <w:rPr>
          <w:spacing w:val="-8"/>
        </w:rPr>
        <w:t> </w:t>
      </w:r>
      <w:r>
        <w:rPr>
          <w:spacing w:val="-2"/>
        </w:rPr>
        <w:t>handlingar</w:t>
      </w:r>
    </w:p>
    <w:p>
      <w:pPr>
        <w:spacing w:line="290" w:lineRule="auto" w:before="167"/>
        <w:ind w:left="85" w:right="278" w:firstLine="0"/>
        <w:jc w:val="left"/>
        <w:rPr>
          <w:sz w:val="22"/>
        </w:rPr>
      </w:pPr>
      <w:r>
        <w:rPr>
          <w:sz w:val="22"/>
        </w:rPr>
        <w:t>Rättsliga</w:t>
      </w:r>
      <w:r>
        <w:rPr>
          <w:spacing w:val="-4"/>
          <w:sz w:val="22"/>
        </w:rPr>
        <w:t> </w:t>
      </w:r>
      <w:r>
        <w:rPr>
          <w:sz w:val="22"/>
        </w:rPr>
        <w:t>handlingar</w:t>
      </w:r>
      <w:r>
        <w:rPr>
          <w:spacing w:val="-4"/>
          <w:sz w:val="22"/>
        </w:rPr>
        <w:t> </w:t>
      </w:r>
      <w:r>
        <w:rPr>
          <w:sz w:val="22"/>
        </w:rPr>
        <w:t>från</w:t>
      </w:r>
      <w:r>
        <w:rPr>
          <w:spacing w:val="-4"/>
          <w:sz w:val="22"/>
        </w:rPr>
        <w:t> </w:t>
      </w:r>
      <w:r>
        <w:rPr>
          <w:sz w:val="22"/>
        </w:rPr>
        <w:t>EU,</w:t>
      </w:r>
      <w:r>
        <w:rPr>
          <w:spacing w:val="-4"/>
          <w:sz w:val="22"/>
        </w:rPr>
        <w:t> </w:t>
      </w:r>
      <w:r>
        <w:rPr>
          <w:sz w:val="22"/>
        </w:rPr>
        <w:t>inklusive</w:t>
      </w:r>
      <w:r>
        <w:rPr>
          <w:spacing w:val="-4"/>
          <w:sz w:val="22"/>
        </w:rPr>
        <w:t> </w:t>
      </w:r>
      <w:r>
        <w:rPr>
          <w:sz w:val="22"/>
        </w:rPr>
        <w:t>all</w:t>
      </w:r>
      <w:r>
        <w:rPr>
          <w:spacing w:val="-4"/>
          <w:sz w:val="22"/>
        </w:rPr>
        <w:t> </w:t>
      </w:r>
      <w:r>
        <w:rPr>
          <w:sz w:val="22"/>
        </w:rPr>
        <w:t>EU-lagstiftning</w:t>
      </w:r>
      <w:r>
        <w:rPr>
          <w:spacing w:val="-4"/>
          <w:sz w:val="22"/>
        </w:rPr>
        <w:t> </w:t>
      </w:r>
      <w:r>
        <w:rPr>
          <w:sz w:val="22"/>
        </w:rPr>
        <w:t>sedan</w:t>
      </w:r>
      <w:r>
        <w:rPr>
          <w:spacing w:val="-4"/>
          <w:sz w:val="22"/>
        </w:rPr>
        <w:t> </w:t>
      </w:r>
      <w:r>
        <w:rPr>
          <w:sz w:val="22"/>
        </w:rPr>
        <w:t>1951,</w:t>
      </w:r>
      <w:r>
        <w:rPr>
          <w:spacing w:val="-4"/>
          <w:sz w:val="22"/>
        </w:rPr>
        <w:t> </w:t>
      </w:r>
      <w:r>
        <w:rPr>
          <w:sz w:val="22"/>
        </w:rPr>
        <w:t>finns</w:t>
      </w:r>
      <w:r>
        <w:rPr>
          <w:spacing w:val="-4"/>
          <w:sz w:val="22"/>
        </w:rPr>
        <w:t> </w:t>
      </w:r>
      <w:r>
        <w:rPr>
          <w:sz w:val="22"/>
        </w:rPr>
        <w:t>på</w:t>
      </w:r>
      <w:r>
        <w:rPr>
          <w:spacing w:val="-4"/>
          <w:sz w:val="22"/>
        </w:rPr>
        <w:t> </w:t>
      </w:r>
      <w:r>
        <w:rPr>
          <w:sz w:val="22"/>
        </w:rPr>
        <w:t>alla</w:t>
      </w:r>
      <w:r>
        <w:rPr>
          <w:spacing w:val="-4"/>
          <w:sz w:val="22"/>
        </w:rPr>
        <w:t> </w:t>
      </w:r>
      <w:r>
        <w:rPr>
          <w:sz w:val="22"/>
        </w:rPr>
        <w:t>officiella</w:t>
      </w:r>
      <w:r>
        <w:rPr>
          <w:spacing w:val="-4"/>
          <w:sz w:val="22"/>
        </w:rPr>
        <w:t> </w:t>
      </w:r>
      <w:r>
        <w:rPr>
          <w:sz w:val="22"/>
        </w:rPr>
        <w:t>EU-språk</w:t>
      </w:r>
      <w:r>
        <w:rPr>
          <w:spacing w:val="-4"/>
          <w:sz w:val="22"/>
        </w:rPr>
        <w:t> </w:t>
      </w:r>
      <w:r>
        <w:rPr>
          <w:sz w:val="22"/>
        </w:rPr>
        <w:t>på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Öppna</w:t>
      </w:r>
      <w:r>
        <w:rPr>
          <w:spacing w:val="-8"/>
        </w:rPr>
        <w:t> </w:t>
      </w:r>
      <w:r>
        <w:rPr/>
        <w:t>EU-</w:t>
      </w:r>
      <w:r>
        <w:rPr>
          <w:spacing w:val="-4"/>
        </w:rPr>
        <w:t>data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Portalen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z w:val="22"/>
          <w:u w:val="none"/>
        </w:rPr>
        <w:t> </w:t>
      </w:r>
      <w:r>
        <w:rPr>
          <w:sz w:val="22"/>
          <w:u w:val="none"/>
        </w:rPr>
        <w:t>ger tillgång till öppna datamängder från EU:s institutioner, organ och byråer. De kan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laddas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ned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och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användas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fritt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för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kommersiella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och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andra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ändamål.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Portalen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ger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också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tillgång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till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en stor mängd data från EU-länderna.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sv-SE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sv-SE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sv-SE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sv-SE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sv-SE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sv-SE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sv-SE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sv-SE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sv-SE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sv-SE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sv-SE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sv-SE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sv-SE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sv-SE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sv-SE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sv-SE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sv-SE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sv-SE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sv-SE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sv-SE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sv-SE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sv-SE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sv-SE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sv-SE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sv-SE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sv-SE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sv-SE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sv-SE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sv-SE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sv-SE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sv-SE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79"/>
    </w:pPr>
    <w:rPr>
      <w:rFonts w:ascii="Arial" w:hAnsi="Arial" w:eastAsia="Arial" w:cs="Arial"/>
      <w:lang w:val="sv-SE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sv-S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sv" TargetMode="External"/><Relationship Id="rId11" Type="http://schemas.openxmlformats.org/officeDocument/2006/relationships/hyperlink" Target="https://european-union.europa.eu/contact-eu/write-us_sv" TargetMode="External"/><Relationship Id="rId12" Type="http://schemas.openxmlformats.org/officeDocument/2006/relationships/hyperlink" Target="https://european-union.europa.eu/index_sv" TargetMode="External"/><Relationship Id="rId13" Type="http://schemas.openxmlformats.org/officeDocument/2006/relationships/hyperlink" Target="https://op.europa.eu/sv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sv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SV</dc:title>
  <dcterms:created xsi:type="dcterms:W3CDTF">2026-06-15T09:26:04Z</dcterms:created>
  <dcterms:modified xsi:type="dcterms:W3CDTF">2026-06-15T09:26:04Z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